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05044" w:rsidRPr="00EA6F31" w:rsidRDefault="00C83424" w:rsidP="000C6BFD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B20B6E" w:rsidRDefault="00124C2D" w:rsidP="000C6B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Duke of Edinburgh </w:t>
            </w:r>
            <w:r w:rsidR="006C4622">
              <w:rPr>
                <w:rFonts w:ascii="Calibri" w:hAnsi="Calibri" w:cs="Calibri"/>
                <w:b/>
                <w:szCs w:val="24"/>
              </w:rPr>
              <w:t>Manager</w:t>
            </w:r>
            <w:r w:rsidR="00D93396" w:rsidRPr="00EA6F31">
              <w:rPr>
                <w:rFonts w:ascii="Calibri" w:hAnsi="Calibri" w:cs="Calibri"/>
                <w:b/>
                <w:szCs w:val="24"/>
              </w:rPr>
              <w:tab/>
            </w:r>
            <w:r w:rsidR="00D93396" w:rsidRPr="00EA6F31">
              <w:rPr>
                <w:rFonts w:ascii="Calibri" w:hAnsi="Calibri" w:cs="Calibri"/>
                <w:b/>
                <w:szCs w:val="24"/>
              </w:rPr>
              <w:tab/>
            </w:r>
          </w:p>
          <w:p w:rsidR="008C7925" w:rsidRPr="00EA6F31" w:rsidRDefault="008C7925" w:rsidP="00006A7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D06BF" w:rsidRPr="00EA6F31" w:rsidTr="001C22D0">
        <w:tc>
          <w:tcPr>
            <w:tcW w:w="3119" w:type="dxa"/>
          </w:tcPr>
          <w:p w:rsidR="000D06BF" w:rsidRDefault="000D06BF" w:rsidP="0068042E">
            <w:pPr>
              <w:pStyle w:val="Heading1"/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7229" w:type="dxa"/>
          </w:tcPr>
          <w:p w:rsidR="000D06BF" w:rsidRPr="00EA6F31" w:rsidRDefault="000D06BF" w:rsidP="000C6BFD">
            <w:pPr>
              <w:pStyle w:val="Heading1"/>
              <w:rPr>
                <w:rFonts w:ascii="Calibri" w:hAnsi="Calibri" w:cs="Calibri"/>
                <w:szCs w:val="24"/>
              </w:rPr>
            </w:pP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BF33FB" w:rsidTr="00BF33FB">
        <w:tc>
          <w:tcPr>
            <w:tcW w:w="10348" w:type="dxa"/>
          </w:tcPr>
          <w:p w:rsidR="0017745C" w:rsidRPr="00BF33FB" w:rsidRDefault="00295C09" w:rsidP="002D32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3FB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  <w:r w:rsidR="005C292B" w:rsidRPr="00BF3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2F61FA" w:rsidRPr="00BF33F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8224A" w:rsidRPr="00BF33FB">
              <w:rPr>
                <w:rFonts w:asciiTheme="minorHAnsi" w:hAnsiTheme="minorHAnsi" w:cstheme="minorHAnsi"/>
                <w:b/>
                <w:sz w:val="22"/>
                <w:szCs w:val="22"/>
              </w:rPr>
              <w:t>SLT Link</w:t>
            </w:r>
            <w:r w:rsidRPr="00BF33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4622" w:rsidRPr="00BF3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Assistant Headteacher</w:t>
            </w:r>
          </w:p>
          <w:p w:rsidR="00124C2D" w:rsidRPr="00BF33FB" w:rsidRDefault="00124C2D" w:rsidP="002D32B2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24C2D" w:rsidRPr="00BF33FB" w:rsidRDefault="00124C2D" w:rsidP="002D32B2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Contract – 1 </w:t>
            </w:r>
            <w:proofErr w:type="spellStart"/>
            <w:r w:rsidRPr="00BF33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yr</w:t>
            </w:r>
            <w:proofErr w:type="spellEnd"/>
            <w:r w:rsidRPr="00BF33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Fixed Term</w:t>
            </w:r>
          </w:p>
          <w:p w:rsidR="00124C2D" w:rsidRPr="00BF33FB" w:rsidRDefault="00124C2D" w:rsidP="002D32B2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Salary – TLR</w:t>
            </w:r>
            <w:r w:rsidR="00B0643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2A</w:t>
            </w:r>
            <w:bookmarkStart w:id="0" w:name="_GoBack"/>
            <w:bookmarkEnd w:id="0"/>
          </w:p>
          <w:p w:rsidR="00124C2D" w:rsidRPr="00BF33FB" w:rsidRDefault="00124C2D" w:rsidP="002D32B2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Start Date – ASAP</w:t>
            </w:r>
          </w:p>
          <w:p w:rsidR="00124C2D" w:rsidRPr="00BF33FB" w:rsidRDefault="00124C2D" w:rsidP="002D32B2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Report to – Assistant Headteacher</w:t>
            </w:r>
          </w:p>
          <w:p w:rsidR="00124C2D" w:rsidRPr="00BF33FB" w:rsidRDefault="00124C2D" w:rsidP="002D32B2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24C2D" w:rsidRPr="00BF33FB" w:rsidRDefault="00124C2D" w:rsidP="002D32B2">
            <w:pPr>
              <w:keepNext/>
              <w:keepLines/>
              <w:ind w:left="27" w:right="259"/>
              <w:outlineLvl w:val="1"/>
              <w:rPr>
                <w:rFonts w:asciiTheme="minorHAnsi" w:eastAsia="Calibri" w:hAnsiTheme="minorHAnsi" w:cstheme="minorHAnsi"/>
                <w:color w:val="181717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181717"/>
                <w:sz w:val="22"/>
                <w:szCs w:val="22"/>
              </w:rPr>
              <w:t>Summary and main purpose</w:t>
            </w:r>
          </w:p>
          <w:p w:rsidR="00124C2D" w:rsidRPr="00BF33FB" w:rsidRDefault="00124C2D" w:rsidP="002D32B2">
            <w:pPr>
              <w:ind w:right="259"/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The Duke of Edinburgh’s Award (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 xml:space="preserve">) is a UK charity that makes a difference to young people’s lives and prepares them for life and work. Over 300,000 young people per year from every possible background take part in the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 xml:space="preserve"> programme to broaden their horizons, develop their leadership skills, learn to work with others, volunteer in their local communities, increase their employability, and prove to themselves they can succeed at a serious challenge.</w:t>
            </w:r>
          </w:p>
          <w:p w:rsidR="002D32B2" w:rsidRPr="00BF33FB" w:rsidRDefault="002D32B2" w:rsidP="002D32B2">
            <w:pPr>
              <w:ind w:right="259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24C2D" w:rsidRPr="00BF33FB" w:rsidRDefault="00124C2D" w:rsidP="002D32B2">
            <w:pPr>
              <w:ind w:right="259"/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</w:pPr>
            <w:proofErr w:type="spellStart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 xml:space="preserve"> Managers perform a vital role on behalf of the charity. They ensure that The Duke of Edinburgh’s Award is operated in accordance with the terms of the Licence agreement and support the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DofE’s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 xml:space="preserve"> mission. They develop, support and promote the delivery of the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 xml:space="preserve"> within the remit of their Licensed Organisation.</w:t>
            </w:r>
          </w:p>
          <w:p w:rsidR="002D32B2" w:rsidRPr="00BF33FB" w:rsidRDefault="002D32B2" w:rsidP="002D32B2">
            <w:pPr>
              <w:ind w:right="259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24C2D" w:rsidRPr="00BF33FB" w:rsidRDefault="00124C2D" w:rsidP="002D32B2">
            <w:pPr>
              <w:ind w:left="2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b/>
                <w:color w:val="1D3666"/>
                <w:sz w:val="22"/>
                <w:szCs w:val="22"/>
              </w:rPr>
              <w:t>The key tasks of the role are to:</w:t>
            </w:r>
          </w:p>
          <w:p w:rsidR="00124C2D" w:rsidRPr="00BF33FB" w:rsidRDefault="00124C2D" w:rsidP="002D32B2">
            <w:pPr>
              <w:keepNext/>
              <w:keepLines/>
              <w:ind w:left="-2" w:hanging="10"/>
              <w:outlineLvl w:val="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YOUNG PEOPLE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tabs>
                <w:tab w:val="center" w:pos="4666"/>
              </w:tabs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Ensure the delivery of high quality programmes and identify opportunities for increased participation.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Manage the provision of a safe and enjoyable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 programmes for participants from the Licensed Organisation. 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Issue badges and certificates on completion of Awards.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Arrange suitable opportunities to celebrate young people’s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 achievements.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ind w:right="4456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Purchase Welcome Packs and assign Participation Places. 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ind w:right="4456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Deal with complaints and queries in an efficient manner.</w:t>
            </w:r>
          </w:p>
          <w:p w:rsidR="00BF33FB" w:rsidRPr="00BF33FB" w:rsidRDefault="00BF33FB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 xml:space="preserve"> Managers must undertake the e-induction and Introduction to the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343433"/>
                <w:sz w:val="22"/>
                <w:szCs w:val="22"/>
              </w:rPr>
              <w:t xml:space="preserve"> courses.</w:t>
            </w:r>
          </w:p>
          <w:p w:rsidR="00BF33FB" w:rsidRPr="00BF33FB" w:rsidRDefault="00BF33FB" w:rsidP="00BF33FB">
            <w:pPr>
              <w:ind w:left="720" w:right="4456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24C2D" w:rsidRPr="00BF33FB" w:rsidRDefault="00124C2D" w:rsidP="002D32B2">
            <w:pPr>
              <w:keepNext/>
              <w:keepLines/>
              <w:ind w:left="-2" w:hanging="10"/>
              <w:outlineLvl w:val="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BF33F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GROUPS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Authorise, manage and set up sufficient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 groups to ensure access to a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 programme for all participants who wish to take part. 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Approve the appointment of Leaders, instructors, Supervisors and Assessors and ensure they have access to appropriate training/qualifications for their role.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Manage and support Leaders – support them in their role, ensure they have undergone appropriate training and actively manage the recruitment of new Leaders when necessary.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Use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eDofE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 to actively manage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 groups.</w:t>
            </w:r>
          </w:p>
          <w:p w:rsidR="00124C2D" w:rsidRPr="00BF33FB" w:rsidRDefault="00124C2D" w:rsidP="00BF33FB">
            <w:pPr>
              <w:numPr>
                <w:ilvl w:val="0"/>
                <w:numId w:val="6"/>
              </w:numPr>
              <w:ind w:right="2678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Ensure that all </w:t>
            </w:r>
            <w:proofErr w:type="spellStart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>DofE</w:t>
            </w:r>
            <w:proofErr w:type="spellEnd"/>
            <w:r w:rsidRPr="00BF33FB">
              <w:rPr>
                <w:rFonts w:asciiTheme="minorHAnsi" w:eastAsia="Calibri" w:hAnsiTheme="minorHAnsi" w:cstheme="minorHAnsi"/>
                <w:color w:val="404042"/>
                <w:sz w:val="22"/>
                <w:szCs w:val="22"/>
              </w:rPr>
              <w:t xml:space="preserve"> groups are adhering to the correct policies and procedures. Run an active volunteer recruitment programme.</w:t>
            </w:r>
          </w:p>
          <w:p w:rsidR="00124C2D" w:rsidRPr="00BF33FB" w:rsidRDefault="00124C2D" w:rsidP="002D32B2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124C2D" w:rsidRPr="00BF33FB" w:rsidRDefault="00124C2D" w:rsidP="002D32B2">
            <w:pPr>
              <w:ind w:left="720"/>
              <w:contextualSpacing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F341B6" w:rsidRPr="00BF33FB" w:rsidRDefault="00F341B6" w:rsidP="002D32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341B6" w:rsidRPr="00BF33FB" w:rsidRDefault="00F341B6" w:rsidP="00F341B6">
      <w:pPr>
        <w:ind w:left="-567"/>
        <w:rPr>
          <w:rFonts w:asciiTheme="minorHAnsi" w:hAnsiTheme="minorHAnsi" w:cstheme="minorHAnsi"/>
          <w:sz w:val="22"/>
          <w:szCs w:val="22"/>
        </w:rPr>
      </w:pPr>
    </w:p>
    <w:p w:rsidR="00BF33FB" w:rsidRDefault="00BF33FB" w:rsidP="00F341B6">
      <w:pPr>
        <w:ind w:left="-567"/>
        <w:rPr>
          <w:rFonts w:asciiTheme="minorHAnsi" w:hAnsiTheme="minorHAnsi" w:cstheme="minorHAnsi"/>
          <w:bCs/>
          <w:sz w:val="22"/>
          <w:szCs w:val="22"/>
        </w:rPr>
      </w:pPr>
    </w:p>
    <w:p w:rsidR="00BF33FB" w:rsidRDefault="00BF33FB" w:rsidP="00F341B6">
      <w:pPr>
        <w:ind w:left="-567"/>
        <w:rPr>
          <w:rFonts w:asciiTheme="minorHAnsi" w:hAnsiTheme="minorHAnsi" w:cstheme="minorHAnsi"/>
          <w:bCs/>
          <w:sz w:val="22"/>
          <w:szCs w:val="22"/>
        </w:rPr>
      </w:pPr>
    </w:p>
    <w:p w:rsidR="00F82A43" w:rsidRPr="00BF33FB" w:rsidRDefault="00F82A43" w:rsidP="00F341B6">
      <w:pPr>
        <w:ind w:left="-567"/>
        <w:rPr>
          <w:rFonts w:asciiTheme="minorHAnsi" w:hAnsiTheme="minorHAnsi" w:cstheme="minorHAnsi"/>
          <w:sz w:val="22"/>
          <w:szCs w:val="22"/>
        </w:rPr>
      </w:pPr>
      <w:r w:rsidRPr="00BF33F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proofErr w:type="spellStart"/>
      <w:r w:rsidRPr="00BF33FB">
        <w:rPr>
          <w:rFonts w:asciiTheme="minorHAnsi" w:hAnsiTheme="minorHAnsi" w:cstheme="minorHAnsi"/>
          <w:bCs/>
          <w:sz w:val="22"/>
          <w:szCs w:val="22"/>
        </w:rPr>
        <w:t>postholder</w:t>
      </w:r>
      <w:proofErr w:type="spellEnd"/>
      <w:r w:rsidRPr="00BF33FB">
        <w:rPr>
          <w:rFonts w:asciiTheme="minorHAnsi" w:hAnsiTheme="minorHAnsi" w:cstheme="minorHAnsi"/>
          <w:bCs/>
          <w:sz w:val="22"/>
          <w:szCs w:val="22"/>
        </w:rPr>
        <w:t xml:space="preserve"> must be flexible to ensure that the operational</w:t>
      </w:r>
      <w:r w:rsidR="00CE4532" w:rsidRPr="00BF33FB">
        <w:rPr>
          <w:rFonts w:asciiTheme="minorHAnsi" w:hAnsiTheme="minorHAnsi" w:cstheme="minorHAnsi"/>
          <w:bCs/>
          <w:sz w:val="22"/>
          <w:szCs w:val="22"/>
        </w:rPr>
        <w:t xml:space="preserve"> and strategic</w:t>
      </w:r>
      <w:r w:rsidRPr="00BF33FB">
        <w:rPr>
          <w:rFonts w:asciiTheme="minorHAnsi" w:hAnsiTheme="minorHAnsi" w:cstheme="minorHAnsi"/>
          <w:bCs/>
          <w:sz w:val="22"/>
          <w:szCs w:val="22"/>
        </w:rPr>
        <w:t xml:space="preserve"> needs of the school are met.</w:t>
      </w:r>
    </w:p>
    <w:p w:rsidR="00116EA2" w:rsidRPr="00BF33F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:rsidR="001B32C2" w:rsidRPr="00BF33FB" w:rsidRDefault="001B32C2" w:rsidP="001C22D0">
      <w:pPr>
        <w:pStyle w:val="Heading1"/>
        <w:ind w:left="-567"/>
        <w:rPr>
          <w:rFonts w:asciiTheme="minorHAnsi" w:hAnsiTheme="minorHAnsi" w:cstheme="minorHAnsi"/>
          <w:sz w:val="22"/>
          <w:szCs w:val="22"/>
        </w:rPr>
      </w:pPr>
      <w:r w:rsidRPr="00BF33FB">
        <w:rPr>
          <w:rFonts w:asciiTheme="minorHAnsi" w:hAnsiTheme="minorHAnsi" w:cstheme="minorHAnsi"/>
          <w:sz w:val="22"/>
          <w:szCs w:val="22"/>
        </w:rPr>
        <w:t>EQUALITY AND DIVERSITY</w:t>
      </w:r>
    </w:p>
    <w:p w:rsidR="001B32C2" w:rsidRPr="00BF33FB" w:rsidRDefault="001B32C2" w:rsidP="001C22D0">
      <w:pPr>
        <w:ind w:left="-567"/>
        <w:rPr>
          <w:rFonts w:asciiTheme="minorHAnsi" w:hAnsiTheme="minorHAnsi" w:cstheme="minorHAnsi"/>
          <w:sz w:val="22"/>
          <w:szCs w:val="22"/>
        </w:rPr>
      </w:pPr>
      <w:r w:rsidRPr="00BF33FB">
        <w:rPr>
          <w:rFonts w:asciiTheme="minorHAnsi" w:hAnsiTheme="minorHAnsi" w:cstheme="minorHAnsi"/>
          <w:sz w:val="22"/>
          <w:szCs w:val="22"/>
        </w:rPr>
        <w:t>We are committed to and champion equality and diversity in all aspects of employment with</w:t>
      </w:r>
      <w:r w:rsidR="00C43C4D" w:rsidRPr="00BF33FB">
        <w:rPr>
          <w:rFonts w:asciiTheme="minorHAnsi" w:hAnsiTheme="minorHAnsi" w:cstheme="minorHAnsi"/>
          <w:sz w:val="22"/>
          <w:szCs w:val="22"/>
        </w:rPr>
        <w:t>in</w:t>
      </w:r>
      <w:r w:rsidRPr="00BF33FB">
        <w:rPr>
          <w:rFonts w:asciiTheme="minorHAnsi" w:hAnsiTheme="minorHAnsi" w:cstheme="minorHAnsi"/>
          <w:sz w:val="22"/>
          <w:szCs w:val="22"/>
        </w:rPr>
        <w:t xml:space="preserve"> the London Borough of </w:t>
      </w:r>
      <w:r w:rsidR="00CE4532" w:rsidRPr="00BF33FB">
        <w:rPr>
          <w:rFonts w:asciiTheme="minorHAnsi" w:hAnsiTheme="minorHAnsi" w:cstheme="minorHAnsi"/>
          <w:sz w:val="22"/>
          <w:szCs w:val="22"/>
        </w:rPr>
        <w:t>Enfield</w:t>
      </w:r>
      <w:r w:rsidRPr="00BF33FB">
        <w:rPr>
          <w:rFonts w:asciiTheme="minorHAnsi" w:hAnsiTheme="minorHAnsi" w:cstheme="minorHAnsi"/>
          <w:sz w:val="22"/>
          <w:szCs w:val="22"/>
        </w:rPr>
        <w:t>.  All employees are expected to understand and promote equality and diversity in the course of their work.</w:t>
      </w:r>
    </w:p>
    <w:p w:rsidR="00F341B6" w:rsidRPr="00BF33FB" w:rsidRDefault="00F341B6" w:rsidP="001C22D0">
      <w:pPr>
        <w:ind w:hanging="567"/>
        <w:rPr>
          <w:rFonts w:asciiTheme="minorHAnsi" w:hAnsiTheme="minorHAnsi" w:cstheme="minorHAnsi"/>
          <w:b/>
          <w:sz w:val="22"/>
          <w:szCs w:val="22"/>
        </w:rPr>
      </w:pPr>
    </w:p>
    <w:p w:rsidR="002C2EF0" w:rsidRPr="00BF33FB" w:rsidRDefault="002C2EF0" w:rsidP="001C22D0">
      <w:pPr>
        <w:ind w:hanging="567"/>
        <w:rPr>
          <w:rFonts w:asciiTheme="minorHAnsi" w:hAnsiTheme="minorHAnsi" w:cstheme="minorHAnsi"/>
          <w:b/>
          <w:sz w:val="22"/>
          <w:szCs w:val="22"/>
        </w:rPr>
      </w:pPr>
      <w:r w:rsidRPr="00BF33FB">
        <w:rPr>
          <w:rFonts w:asciiTheme="minorHAnsi" w:hAnsiTheme="minorHAnsi" w:cstheme="minorHAnsi"/>
          <w:b/>
          <w:sz w:val="22"/>
          <w:szCs w:val="22"/>
        </w:rPr>
        <w:t>SAFEGUARDING CHILDREN</w:t>
      </w:r>
    </w:p>
    <w:p w:rsidR="00EB3E06" w:rsidRPr="00BF33FB" w:rsidRDefault="00BA084B" w:rsidP="001C22D0">
      <w:pPr>
        <w:ind w:left="-567"/>
        <w:rPr>
          <w:rFonts w:asciiTheme="minorHAnsi" w:hAnsiTheme="minorHAnsi" w:cstheme="minorHAnsi"/>
          <w:sz w:val="22"/>
          <w:szCs w:val="22"/>
        </w:rPr>
      </w:pPr>
      <w:r w:rsidRPr="00BF33FB">
        <w:rPr>
          <w:rFonts w:asciiTheme="minorHAnsi" w:hAnsiTheme="minorHAnsi" w:cstheme="minorHAnsi"/>
          <w:sz w:val="22"/>
          <w:szCs w:val="22"/>
        </w:rPr>
        <w:lastRenderedPageBreak/>
        <w:t>Bishop Stopford’s School</w:t>
      </w:r>
      <w:r w:rsidR="002C2EF0" w:rsidRPr="00BF33FB">
        <w:rPr>
          <w:rFonts w:asciiTheme="minorHAnsi" w:hAnsiTheme="minorHAnsi" w:cstheme="minorHAnsi"/>
          <w:sz w:val="22"/>
          <w:szCs w:val="22"/>
        </w:rPr>
        <w:t xml:space="preserve"> is committed to safeguarding and promoting the welfare of children and young people and expects all staff and volunteers to share this commitment and uphold all relevant procedures.</w:t>
      </w:r>
    </w:p>
    <w:p w:rsidR="00AF5229" w:rsidRPr="00BF33FB" w:rsidRDefault="00AF5229" w:rsidP="001C22D0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BF33FB" w:rsidTr="00BF33FB">
        <w:tc>
          <w:tcPr>
            <w:tcW w:w="10206" w:type="dxa"/>
            <w:gridSpan w:val="2"/>
          </w:tcPr>
          <w:p w:rsidR="00EB3E06" w:rsidRPr="00BF33FB" w:rsidRDefault="00EB3E06" w:rsidP="000C6B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B3E06" w:rsidRPr="00BF33FB" w:rsidRDefault="00EB3E06" w:rsidP="000C6B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F33F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 have read the Job Description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      </w:r>
          </w:p>
          <w:p w:rsidR="00EB3E06" w:rsidRPr="00BF33FB" w:rsidRDefault="00EB3E06" w:rsidP="000C6B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B3E06" w:rsidRPr="00BF33FB" w:rsidTr="00BF33FB">
        <w:tc>
          <w:tcPr>
            <w:tcW w:w="4961" w:type="dxa"/>
          </w:tcPr>
          <w:p w:rsidR="00EB3E06" w:rsidRPr="00BF33FB" w:rsidRDefault="00EB3E06" w:rsidP="000C6BF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F33FB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Name:</w:t>
            </w:r>
          </w:p>
          <w:p w:rsidR="00EB3E06" w:rsidRPr="00BF33FB" w:rsidRDefault="00EB3E06" w:rsidP="000C6BF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BF33FB" w:rsidRDefault="00EB3E06" w:rsidP="000C6BF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F33FB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Signature:</w:t>
            </w:r>
          </w:p>
        </w:tc>
      </w:tr>
      <w:tr w:rsidR="00EB3E06" w:rsidRPr="00BF33FB" w:rsidTr="00BF33FB">
        <w:tc>
          <w:tcPr>
            <w:tcW w:w="4961" w:type="dxa"/>
          </w:tcPr>
          <w:p w:rsidR="00EB3E06" w:rsidRPr="00BF33FB" w:rsidRDefault="00EB3E06" w:rsidP="000C6BF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F33FB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Date:</w:t>
            </w:r>
          </w:p>
          <w:p w:rsidR="00EB3E06" w:rsidRPr="00BF33FB" w:rsidRDefault="00EB3E06" w:rsidP="000C6BF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BF33FB" w:rsidRDefault="00EB3E06" w:rsidP="000C6BF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E05044" w:rsidRPr="00BF33FB" w:rsidRDefault="00E05044" w:rsidP="000C6BFD">
      <w:pPr>
        <w:rPr>
          <w:rFonts w:asciiTheme="minorHAnsi" w:hAnsiTheme="minorHAnsi" w:cstheme="minorHAnsi"/>
          <w:sz w:val="22"/>
          <w:szCs w:val="22"/>
        </w:rPr>
      </w:pPr>
    </w:p>
    <w:sectPr w:rsidR="00E05044" w:rsidRPr="00BF33FB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B06437">
      <w:rPr>
        <w:noProof/>
        <w:sz w:val="18"/>
        <w:szCs w:val="18"/>
      </w:rPr>
      <w:t>2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3"/>
    <w:multiLevelType w:val="hybridMultilevel"/>
    <w:tmpl w:val="E22C6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1E2"/>
    <w:multiLevelType w:val="hybridMultilevel"/>
    <w:tmpl w:val="B9BABA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3494"/>
    <w:multiLevelType w:val="hybridMultilevel"/>
    <w:tmpl w:val="7E0612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198E"/>
    <w:multiLevelType w:val="hybridMultilevel"/>
    <w:tmpl w:val="413C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64015"/>
    <w:multiLevelType w:val="hybridMultilevel"/>
    <w:tmpl w:val="9B96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813E8"/>
    <w:rsid w:val="000A2D1C"/>
    <w:rsid w:val="000C5CD7"/>
    <w:rsid w:val="000C6BFD"/>
    <w:rsid w:val="000D06BF"/>
    <w:rsid w:val="00104688"/>
    <w:rsid w:val="00107F3C"/>
    <w:rsid w:val="00116EA2"/>
    <w:rsid w:val="00121AB9"/>
    <w:rsid w:val="00124C2D"/>
    <w:rsid w:val="00127A1F"/>
    <w:rsid w:val="00144EDE"/>
    <w:rsid w:val="00146604"/>
    <w:rsid w:val="00150547"/>
    <w:rsid w:val="0017745C"/>
    <w:rsid w:val="001904F6"/>
    <w:rsid w:val="00197C3B"/>
    <w:rsid w:val="001A1FFD"/>
    <w:rsid w:val="001B32C2"/>
    <w:rsid w:val="001C22D0"/>
    <w:rsid w:val="001D447F"/>
    <w:rsid w:val="001E12C3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5BAF"/>
    <w:rsid w:val="002B6367"/>
    <w:rsid w:val="002C2EF0"/>
    <w:rsid w:val="002C4964"/>
    <w:rsid w:val="002D32B2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54097"/>
    <w:rsid w:val="00463ACC"/>
    <w:rsid w:val="00464631"/>
    <w:rsid w:val="0048224A"/>
    <w:rsid w:val="004A4802"/>
    <w:rsid w:val="004B18AD"/>
    <w:rsid w:val="004B2299"/>
    <w:rsid w:val="004B74EC"/>
    <w:rsid w:val="004C15BF"/>
    <w:rsid w:val="004E6750"/>
    <w:rsid w:val="004F0B77"/>
    <w:rsid w:val="005002FD"/>
    <w:rsid w:val="0050571A"/>
    <w:rsid w:val="00521E9D"/>
    <w:rsid w:val="00531A5D"/>
    <w:rsid w:val="00542B15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7D3C"/>
    <w:rsid w:val="00624742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C4622"/>
    <w:rsid w:val="006D69B2"/>
    <w:rsid w:val="006E30ED"/>
    <w:rsid w:val="006F04C9"/>
    <w:rsid w:val="006F4EA0"/>
    <w:rsid w:val="00706F7E"/>
    <w:rsid w:val="00731A08"/>
    <w:rsid w:val="00737428"/>
    <w:rsid w:val="00746555"/>
    <w:rsid w:val="00771957"/>
    <w:rsid w:val="00773BD8"/>
    <w:rsid w:val="007861F8"/>
    <w:rsid w:val="00796B56"/>
    <w:rsid w:val="007A31D7"/>
    <w:rsid w:val="007C2A93"/>
    <w:rsid w:val="0080462C"/>
    <w:rsid w:val="00824F07"/>
    <w:rsid w:val="00827972"/>
    <w:rsid w:val="00831CA5"/>
    <w:rsid w:val="008323E6"/>
    <w:rsid w:val="00840F6F"/>
    <w:rsid w:val="0084236F"/>
    <w:rsid w:val="008465A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E416E"/>
    <w:rsid w:val="008E4BE1"/>
    <w:rsid w:val="008F2706"/>
    <w:rsid w:val="008F2A63"/>
    <w:rsid w:val="009136A3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9563F"/>
    <w:rsid w:val="00A967A0"/>
    <w:rsid w:val="00AA3334"/>
    <w:rsid w:val="00AA534B"/>
    <w:rsid w:val="00AE657A"/>
    <w:rsid w:val="00AF2EF7"/>
    <w:rsid w:val="00AF5229"/>
    <w:rsid w:val="00AF7AA2"/>
    <w:rsid w:val="00B06437"/>
    <w:rsid w:val="00B20B6E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510E"/>
    <w:rsid w:val="00BF33FB"/>
    <w:rsid w:val="00C04D5C"/>
    <w:rsid w:val="00C1782A"/>
    <w:rsid w:val="00C24049"/>
    <w:rsid w:val="00C43C4D"/>
    <w:rsid w:val="00C47785"/>
    <w:rsid w:val="00C52831"/>
    <w:rsid w:val="00C66FE0"/>
    <w:rsid w:val="00C773E0"/>
    <w:rsid w:val="00C83424"/>
    <w:rsid w:val="00C92B47"/>
    <w:rsid w:val="00C954DD"/>
    <w:rsid w:val="00CB5ABB"/>
    <w:rsid w:val="00CD450E"/>
    <w:rsid w:val="00CD4B85"/>
    <w:rsid w:val="00CD4D69"/>
    <w:rsid w:val="00CD5569"/>
    <w:rsid w:val="00CE2033"/>
    <w:rsid w:val="00CE4532"/>
    <w:rsid w:val="00D01651"/>
    <w:rsid w:val="00D0310F"/>
    <w:rsid w:val="00D14139"/>
    <w:rsid w:val="00D17C63"/>
    <w:rsid w:val="00D270DC"/>
    <w:rsid w:val="00D36E2C"/>
    <w:rsid w:val="00D46720"/>
    <w:rsid w:val="00D571FC"/>
    <w:rsid w:val="00D72F99"/>
    <w:rsid w:val="00D761E7"/>
    <w:rsid w:val="00D82DBD"/>
    <w:rsid w:val="00D93396"/>
    <w:rsid w:val="00DB37CA"/>
    <w:rsid w:val="00DB3A48"/>
    <w:rsid w:val="00DC7209"/>
    <w:rsid w:val="00DD17B0"/>
    <w:rsid w:val="00E00213"/>
    <w:rsid w:val="00E05044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042E"/>
    <w:rsid w:val="00EA6F31"/>
    <w:rsid w:val="00EA7503"/>
    <w:rsid w:val="00EB3E06"/>
    <w:rsid w:val="00EB447B"/>
    <w:rsid w:val="00EC2A06"/>
    <w:rsid w:val="00EC6349"/>
    <w:rsid w:val="00ED1176"/>
    <w:rsid w:val="00F341B6"/>
    <w:rsid w:val="00F477FA"/>
    <w:rsid w:val="00F5308F"/>
    <w:rsid w:val="00F6498E"/>
    <w:rsid w:val="00F82A43"/>
    <w:rsid w:val="00F92273"/>
    <w:rsid w:val="00FA28ED"/>
    <w:rsid w:val="00FB32B1"/>
    <w:rsid w:val="00FD0CBF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AEF0-FFDA-4F03-B098-ACA854BA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76ADF801</Template>
  <TotalTime>1</TotalTime>
  <Pages>2</Pages>
  <Words>478</Words>
  <Characters>2730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ENneacy</cp:lastModifiedBy>
  <cp:revision>2</cp:revision>
  <cp:lastPrinted>2013-05-02T12:31:00Z</cp:lastPrinted>
  <dcterms:created xsi:type="dcterms:W3CDTF">2024-06-28T11:42:00Z</dcterms:created>
  <dcterms:modified xsi:type="dcterms:W3CDTF">2024-06-28T11:42:00Z</dcterms:modified>
</cp:coreProperties>
</file>